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2922" w14:textId="77777777" w:rsidR="00536531" w:rsidRPr="00536531" w:rsidRDefault="00536531" w:rsidP="00536531">
      <w:pPr>
        <w:pStyle w:val="NoSpacing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36531">
        <w:rPr>
          <w:rFonts w:ascii="Times New Roman" w:hAnsi="Times New Roman"/>
          <w:b/>
          <w:bCs/>
          <w:sz w:val="24"/>
          <w:szCs w:val="24"/>
          <w:lang w:val="en-GB"/>
        </w:rPr>
        <w:t>MUSICA HUMANA</w:t>
      </w:r>
    </w:p>
    <w:p w14:paraId="2B3AB806" w14:textId="77777777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06B27A47" w14:textId="39A46581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Artistic director and conductor</w:t>
      </w:r>
      <w:r w:rsidRPr="0053653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36531">
        <w:rPr>
          <w:rFonts w:ascii="Times New Roman" w:hAnsi="Times New Roman"/>
          <w:b/>
          <w:bCs/>
          <w:sz w:val="24"/>
          <w:szCs w:val="24"/>
          <w:lang w:val="en-GB"/>
        </w:rPr>
        <w:t>Robertas Beinaris</w:t>
      </w:r>
      <w:r w:rsidRPr="00536531">
        <w:rPr>
          <w:rFonts w:ascii="Times New Roman" w:hAnsi="Times New Roman"/>
          <w:sz w:val="24"/>
          <w:szCs w:val="24"/>
          <w:lang w:val="en-GB"/>
        </w:rPr>
        <w:t xml:space="preserve"> (obo</w:t>
      </w:r>
      <w:r>
        <w:rPr>
          <w:rFonts w:ascii="Times New Roman" w:hAnsi="Times New Roman"/>
          <w:sz w:val="24"/>
          <w:szCs w:val="24"/>
          <w:lang w:val="en-GB"/>
        </w:rPr>
        <w:t>e</w:t>
      </w:r>
      <w:r w:rsidRPr="00536531">
        <w:rPr>
          <w:rFonts w:ascii="Times New Roman" w:hAnsi="Times New Roman"/>
          <w:sz w:val="24"/>
          <w:szCs w:val="24"/>
          <w:lang w:val="en-GB"/>
        </w:rPr>
        <w:t xml:space="preserve">) </w:t>
      </w:r>
    </w:p>
    <w:p w14:paraId="08099CD6" w14:textId="77777777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73D26334" w14:textId="17612E55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Ramunė Grakauskaitė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c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oncertm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aster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6934BB33" w14:textId="69E648DE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lang w:val="en-GB"/>
        </w:rPr>
        <w:t>Agata Ursul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lang w:val="en-GB"/>
        </w:rPr>
        <w:t>)</w:t>
      </w:r>
    </w:p>
    <w:p w14:paraId="26FE705E" w14:textId="397AFF56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Toma Bandzaitytė-Puplauskė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0A297BA7" w14:textId="729E01B8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536531">
        <w:rPr>
          <w:rFonts w:ascii="Times New Roman" w:hAnsi="Times New Roman"/>
          <w:sz w:val="24"/>
          <w:szCs w:val="24"/>
          <w:lang w:val="en-GB"/>
        </w:rPr>
        <w:t>Jurgita Jacunskienė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74795D4D" w14:textId="5DF1C194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lang w:val="en-GB"/>
        </w:rPr>
        <w:t>Marija Pranskutė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lang w:val="en-GB"/>
        </w:rPr>
        <w:t>)</w:t>
      </w:r>
    </w:p>
    <w:p w14:paraId="6EFD568B" w14:textId="66C50506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lang w:val="en-GB"/>
        </w:rPr>
        <w:t>Mykyta Nekh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lang w:val="en-GB"/>
        </w:rPr>
        <w:t>)</w:t>
      </w:r>
    </w:p>
    <w:p w14:paraId="07EE1134" w14:textId="5AF3D2B8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Inga Kuizinaitė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5316B15C" w14:textId="13917B27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Giedrė Populaigė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289EFC7A" w14:textId="3D27AB1F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Eglė Rubinienė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violin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764896EE" w14:textId="4A157FF2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Ričardas Vytas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viola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59D314A8" w14:textId="5EFC8F82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Lukas Abromaitis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cello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11CC55F6" w14:textId="50ACBB9E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Donatas Butkevičius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double bass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670A8B8B" w14:textId="4A877806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lang w:val="en-GB"/>
        </w:rPr>
        <w:t>Ieva Kuprevičiūtė (fl</w:t>
      </w:r>
      <w:r>
        <w:rPr>
          <w:rFonts w:ascii="Times New Roman" w:hAnsi="Times New Roman"/>
          <w:sz w:val="24"/>
          <w:szCs w:val="24"/>
          <w:lang w:val="en-GB"/>
        </w:rPr>
        <w:t>ute</w:t>
      </w:r>
      <w:r w:rsidRPr="00536531">
        <w:rPr>
          <w:rFonts w:ascii="Times New Roman" w:hAnsi="Times New Roman"/>
          <w:sz w:val="24"/>
          <w:szCs w:val="24"/>
          <w:lang w:val="en-GB"/>
        </w:rPr>
        <w:t>)</w:t>
      </w:r>
    </w:p>
    <w:p w14:paraId="1A9830C9" w14:textId="4CAD5710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lang w:val="en-GB"/>
        </w:rPr>
        <w:t>Sonata Alšauskaitė (</w:t>
      </w:r>
      <w:r>
        <w:rPr>
          <w:rFonts w:ascii="Times New Roman" w:hAnsi="Times New Roman"/>
          <w:sz w:val="24"/>
          <w:szCs w:val="24"/>
          <w:lang w:val="en-GB"/>
        </w:rPr>
        <w:t>piano</w:t>
      </w:r>
      <w:r w:rsidRPr="00536531">
        <w:rPr>
          <w:rFonts w:ascii="Times New Roman" w:hAnsi="Times New Roman"/>
          <w:sz w:val="24"/>
          <w:szCs w:val="24"/>
          <w:lang w:val="en-GB"/>
        </w:rPr>
        <w:t>)</w:t>
      </w:r>
    </w:p>
    <w:p w14:paraId="5B9447F7" w14:textId="3AE933BF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Gediminas Kviklys (</w:t>
      </w:r>
      <w:r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harpsichord and organ</w:t>
      </w:r>
      <w:r w:rsidRPr="0053653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)</w:t>
      </w:r>
    </w:p>
    <w:p w14:paraId="6299AA5E" w14:textId="77777777" w:rsidR="00536531" w:rsidRPr="00536531" w:rsidRDefault="00536531" w:rsidP="00536531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6FE3E932" w14:textId="084EBD5B" w:rsidR="001374C2" w:rsidRDefault="001374C2" w:rsidP="001374C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Lithuanian National Philharmonic Society’s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531">
        <w:rPr>
          <w:rFonts w:ascii="Times New Roman" w:hAnsi="Times New Roman" w:cs="Times New Roman"/>
          <w:b/>
          <w:bCs/>
          <w:sz w:val="24"/>
          <w:szCs w:val="24"/>
          <w:lang w:val="en-GB"/>
        </w:rPr>
        <w:t>MUSICA HUMANA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Chamber Ensemble was founded in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1974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Its concerts were among the first signs of the revival of historical performance of early music in Lithuania.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1291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nsemble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>perform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a series of programmes: 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>Early Instrumental and Vocal Music of Europe</w:t>
      </w:r>
      <w:r w:rsidRPr="001374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Baroque Route</w:t>
      </w:r>
      <w:r w:rsidRPr="001374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Venetian Genius Antonio Vivaldi</w:t>
      </w:r>
      <w:r w:rsidRPr="001374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J.S. Bach and the </w:t>
      </w:r>
      <w:r w:rsidR="00712915">
        <w:rPr>
          <w:rFonts w:ascii="Times New Roman" w:hAnsi="Times New Roman" w:cs="Times New Roman"/>
          <w:i/>
          <w:iCs/>
          <w:sz w:val="24"/>
          <w:szCs w:val="24"/>
          <w:lang w:val="en-GB"/>
        </w:rPr>
        <w:t>20th-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>Century</w:t>
      </w:r>
      <w:r w:rsidR="00712915" w:rsidRPr="0071291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12915"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</w:t>
      </w:r>
      <w:r w:rsidRPr="001374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J.S. Bach and the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>usic of Lithuania</w:t>
      </w:r>
      <w:r w:rsidRPr="001374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1374C2">
        <w:rPr>
          <w:rFonts w:ascii="Times New Roman" w:hAnsi="Times New Roman" w:cs="Times New Roman"/>
          <w:i/>
          <w:iCs/>
          <w:sz w:val="24"/>
          <w:szCs w:val="24"/>
          <w:lang w:val="en-GB"/>
        </w:rPr>
        <w:t>rt of French Music from the Renaissance to the Present Day</w:t>
      </w:r>
      <w:r w:rsidRPr="001374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73897"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V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ision</w:t>
      </w:r>
      <w:r w:rsidR="00B73897"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</w:t>
      </w:r>
      <w:r w:rsid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</w:t>
      </w:r>
      <w:r w:rsidR="00B73897"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rt</w:t>
      </w:r>
      <w:r w:rsidR="00B73897"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ists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</w:t>
      </w:r>
      <w:r w:rsidR="00B73897"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Composers</w:t>
      </w:r>
      <w:r w:rsidRPr="001374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12B4FAE" w14:textId="47B1F263" w:rsidR="00B73897" w:rsidRDefault="00B73897" w:rsidP="001374C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An important feature of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 Humana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 is the diversity of its repertoire. </w:t>
      </w:r>
      <w:r w:rsidR="0071291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71291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nsemble </w:t>
      </w:r>
      <w:r w:rsidR="00712915">
        <w:rPr>
          <w:rFonts w:ascii="Times New Roman" w:hAnsi="Times New Roman" w:cs="Times New Roman"/>
          <w:sz w:val="24"/>
          <w:szCs w:val="24"/>
          <w:lang w:val="en-GB"/>
        </w:rPr>
        <w:t>delivers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 attractive programmes such as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Letters of Barbora Radvilaitė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Vivaldi’s Musical Expressions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Mozart Improvising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Musical Chess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Early and New Music of Vilnius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 Humana Juventus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Duel of Oboe and Double Bass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Disney Soundtracks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, and many others. 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nsemble has initiated and performed the operas </w:t>
      </w:r>
      <w:r w:rsidRPr="00B73897">
        <w:rPr>
          <w:rFonts w:ascii="Times New Roman" w:hAnsi="Times New Roman" w:cs="Times New Roman"/>
          <w:i/>
          <w:iCs/>
          <w:sz w:val="24"/>
          <w:szCs w:val="24"/>
          <w:lang w:val="en-GB"/>
        </w:rPr>
        <w:t>Neringa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Meil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lt-LT"/>
        </w:rPr>
        <w:t>ės legenda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(A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>Legend of Love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as well as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the musicals </w:t>
      </w:r>
      <w:r w:rsidRPr="00712915">
        <w:rPr>
          <w:rFonts w:ascii="Times New Roman" w:hAnsi="Times New Roman" w:cs="Times New Roman"/>
          <w:i/>
          <w:iCs/>
          <w:sz w:val="24"/>
          <w:szCs w:val="24"/>
          <w:lang w:val="en-GB"/>
        </w:rPr>
        <w:t>Sidabrinis Ežerinis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(Silver Lake-God)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Dzūkiška sakmė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11F05">
        <w:rPr>
          <w:rFonts w:ascii="Times New Roman" w:hAnsi="Times New Roman" w:cs="Times New Roman"/>
          <w:sz w:val="24"/>
          <w:szCs w:val="24"/>
          <w:lang w:val="lt-LT"/>
        </w:rPr>
        <w:t>Dzūkian Saga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. Many contemporary Lithuanian composers 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>such as Osvaldas Balakauskas, Bronius Kutavičius, Algirdas Martinaitis, Jonas Tamulionis, Arvydas Malcys, Vaida Striaupaitė-Beinarienė, Loreta Narvilaitė, Giedrius Svilainis, and others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have written chamber opuses for 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>nsemble</w:t>
      </w:r>
      <w:r w:rsidRPr="00B738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4FCC698" w14:textId="2D1E4E28" w:rsidR="001374C2" w:rsidRDefault="00712915" w:rsidP="001374C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 Humana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collaborates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with Lithuanian and foreign soloists, as well as with the choirs </w:t>
      </w:r>
      <w:r w:rsidR="009031DB"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Aukuras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031DB"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Polifonija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031DB"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Vilnius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>Viva voce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 xml:space="preserve">, early dance company </w:t>
      </w:r>
      <w:r w:rsid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>Festa cortese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031DB" w:rsidRPr="009031D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031DB" w:rsidRPr="009031DB">
        <w:rPr>
          <w:rFonts w:ascii="Times New Roman" w:hAnsi="Times New Roman" w:cs="Times New Roman"/>
          <w:sz w:val="24"/>
          <w:szCs w:val="24"/>
          <w:lang w:val="en-GB"/>
        </w:rPr>
        <w:t>Ensemble</w:t>
      </w:r>
      <w:r w:rsidR="009031DB" w:rsidRP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031DB" w:rsidRPr="009031DB">
        <w:rPr>
          <w:rFonts w:ascii="Times New Roman" w:hAnsi="Times New Roman" w:cs="Times New Roman"/>
          <w:sz w:val="24"/>
          <w:szCs w:val="24"/>
          <w:lang w:val="en-GB"/>
        </w:rPr>
        <w:t>becomes an orchestra with an expanded line-up.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Since 1999, </w:t>
      </w:r>
      <w:r w:rsidR="009031DB"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Musica </w:t>
      </w:r>
      <w:r w:rsid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9031DB"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umana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 xml:space="preserve">has organised </w:t>
      </w:r>
      <w:r w:rsidR="009031DB"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Kuršių nerija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 xml:space="preserve"> (Curonian Spit)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nternational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ummer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estival of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hamber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usic,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 xml:space="preserve">since 2007 – International J.S. Bach Music Festival, 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and since 2019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the Varėn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Regional Music Festival </w:t>
      </w:r>
      <w:r w:rsidR="009031DB"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With the Blessed Teophilus</w:t>
      </w:r>
      <w:r w:rsidR="009031DB" w:rsidRPr="00D868B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Musica Humana </w:t>
      </w:r>
      <w:r w:rsidR="009031DB">
        <w:rPr>
          <w:rFonts w:ascii="Times New Roman" w:hAnsi="Times New Roman" w:cs="Times New Roman"/>
          <w:sz w:val="24"/>
          <w:szCs w:val="24"/>
          <w:lang w:val="en-GB"/>
        </w:rPr>
        <w:t>has committed quite a number of works by Lithuanian composers and a vast repertoire of early music to CDs.</w:t>
      </w:r>
    </w:p>
    <w:p w14:paraId="1553DB01" w14:textId="77777777" w:rsidR="009031DB" w:rsidRDefault="009031DB" w:rsidP="009031D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For many years, 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nsemble was led by Prof. Algirdas Vizgirda, and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December 2018 he </w:t>
      </w:r>
      <w:r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replaced by Prof. Dr. Robertas Beinaris.</w:t>
      </w:r>
    </w:p>
    <w:p w14:paraId="4D057F78" w14:textId="77777777" w:rsidR="009031DB" w:rsidRDefault="009031DB" w:rsidP="009031D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868B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 October 2024, </w:t>
      </w:r>
      <w:r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 Humana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toured the USA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historic two-week tour fulfill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its mission to build cultural bridges, to promote the name of Mik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oju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>s Konstantinas Čiurlionis on the 150th anniversary of his birth, to commemorate the 20th anniversary of Lithuania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>s NATO membership, and to collect donations for Ukraine.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E2B5DCF" w14:textId="5FB33F67" w:rsidR="009031DB" w:rsidRDefault="00F85DA1" w:rsidP="001374C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85DA1">
        <w:rPr>
          <w:rFonts w:ascii="Times New Roman" w:hAnsi="Times New Roman" w:cs="Times New Roman"/>
          <w:sz w:val="24"/>
          <w:szCs w:val="24"/>
          <w:lang w:val="en-GB"/>
        </w:rPr>
        <w:t>***</w:t>
      </w:r>
    </w:p>
    <w:p w14:paraId="5189866B" w14:textId="77777777" w:rsidR="00F85DA1" w:rsidRDefault="00F85DA1" w:rsidP="00F85D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Short biography:</w:t>
      </w:r>
    </w:p>
    <w:p w14:paraId="588E59D5" w14:textId="33A16417" w:rsidR="00F85DA1" w:rsidRDefault="00F85DA1" w:rsidP="00F85DA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Lithuanian National Philharmonic Society’s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531">
        <w:rPr>
          <w:rFonts w:ascii="Times New Roman" w:hAnsi="Times New Roman" w:cs="Times New Roman"/>
          <w:b/>
          <w:bCs/>
          <w:sz w:val="24"/>
          <w:szCs w:val="24"/>
          <w:lang w:val="en-GB"/>
        </w:rPr>
        <w:t>MUSICA HUMANA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Chamber Ensemble was founded in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1974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Its concerts were among the first signs of the revival of historical performance of early music in Lithuania.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nsemble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>perform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a series of programmes, some of which are continuous: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Vivaldi’s Musical Expressions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J.S. Bach and Lithuanian Music,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Musica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umana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J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uventus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Early and New Music of Vilnius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Musical Chess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Disney Soundtracks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 Humana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has initiated and performed the operas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Neringa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Meil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lt-LT"/>
        </w:rPr>
        <w:t>ės legenda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(A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>Legend of Love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as well as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 the musicals </w:t>
      </w:r>
      <w:r w:rsidRPr="009031DB">
        <w:rPr>
          <w:rFonts w:ascii="Times New Roman" w:hAnsi="Times New Roman" w:cs="Times New Roman"/>
          <w:i/>
          <w:iCs/>
          <w:sz w:val="24"/>
          <w:szCs w:val="24"/>
          <w:lang w:val="en-GB"/>
        </w:rPr>
        <w:t>Sidabrinis Ežerinis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(Silver Lake-God) 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>Dzūkiška sakmė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11F05">
        <w:rPr>
          <w:rFonts w:ascii="Times New Roman" w:hAnsi="Times New Roman" w:cs="Times New Roman"/>
          <w:sz w:val="24"/>
          <w:szCs w:val="24"/>
          <w:lang w:val="lt-LT"/>
        </w:rPr>
        <w:t>Dzūkian Saga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 xml:space="preserve">. Many contemporary Lithuanian composers have written chamber opuses for 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536531">
        <w:rPr>
          <w:rFonts w:ascii="Times New Roman" w:hAnsi="Times New Roman" w:cs="Times New Roman"/>
          <w:sz w:val="24"/>
          <w:szCs w:val="24"/>
          <w:lang w:val="en-GB"/>
        </w:rPr>
        <w:t>nsemble.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8192D19" w14:textId="77777777" w:rsidR="00F85DA1" w:rsidRDefault="00F85DA1" w:rsidP="00F85DA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nsemble </w:t>
      </w:r>
      <w:r>
        <w:rPr>
          <w:rFonts w:ascii="Times New Roman" w:hAnsi="Times New Roman" w:cs="Times New Roman"/>
          <w:sz w:val="24"/>
          <w:szCs w:val="24"/>
          <w:lang w:val="en-GB"/>
        </w:rPr>
        <w:t>collaborates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with Lithuanian and foreign soloists, as well as with the choirs </w:t>
      </w:r>
      <w:r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Aukuras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Polifonija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Vilnius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and other ensembles. Since 1999, 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Musica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Pr="0053653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umana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has organised </w:t>
      </w:r>
      <w:r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Kuršių nerija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(Curonian Spit)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nternational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ummer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estival of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hamber 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usic, and since 2019 </w:t>
      </w:r>
      <w:r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the Varėn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Regional Music Festival </w:t>
      </w:r>
      <w:r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With the Blessed Teophilus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. For many years, 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nsemble was led by Prof. Algirdas Vizgirda, and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December 2018 he </w:t>
      </w:r>
      <w:r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replaced by Prof. Dr. Robertas Beinaris.</w:t>
      </w:r>
    </w:p>
    <w:p w14:paraId="59CFD591" w14:textId="28E4076D" w:rsidR="001374C2" w:rsidRPr="001374C2" w:rsidRDefault="00F85DA1" w:rsidP="00F85DA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In October 2024, </w:t>
      </w:r>
      <w:r w:rsidRPr="00D868B0">
        <w:rPr>
          <w:rFonts w:ascii="Times New Roman" w:hAnsi="Times New Roman" w:cs="Times New Roman"/>
          <w:i/>
          <w:iCs/>
          <w:sz w:val="24"/>
          <w:szCs w:val="24"/>
          <w:lang w:val="en-GB"/>
        </w:rPr>
        <w:t>Musica Humana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toured the USA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historic two-week tour fulfill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 xml:space="preserve"> its mission to build cultural bridges, to promote the name of Mik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>oju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>s Konstantinas Čiurlionis on the 150th anniversary of his birth, to commemorate the 20th anniversary of Lithuania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D868B0">
        <w:rPr>
          <w:rFonts w:ascii="Times New Roman" w:hAnsi="Times New Roman" w:cs="Times New Roman"/>
          <w:sz w:val="24"/>
          <w:szCs w:val="24"/>
          <w:lang w:val="en-GB"/>
        </w:rPr>
        <w:t>s NATO membership, and to collect donations for Ukraine.</w:t>
      </w:r>
    </w:p>
    <w:p w14:paraId="5460A7FD" w14:textId="77777777" w:rsidR="00536531" w:rsidRPr="00536531" w:rsidRDefault="00536531" w:rsidP="00536531">
      <w:pPr>
        <w:rPr>
          <w:rFonts w:ascii="Times New Roman" w:hAnsi="Times New Roman" w:cs="Times New Roman"/>
          <w:lang w:val="en-GB"/>
        </w:rPr>
      </w:pPr>
    </w:p>
    <w:sectPr w:rsidR="00536531" w:rsidRPr="0053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78"/>
    <w:rsid w:val="000443CE"/>
    <w:rsid w:val="00046EB0"/>
    <w:rsid w:val="001374C2"/>
    <w:rsid w:val="002B0990"/>
    <w:rsid w:val="00536531"/>
    <w:rsid w:val="00712915"/>
    <w:rsid w:val="007D686E"/>
    <w:rsid w:val="00814726"/>
    <w:rsid w:val="00831E71"/>
    <w:rsid w:val="009031DB"/>
    <w:rsid w:val="009213AD"/>
    <w:rsid w:val="00967AC1"/>
    <w:rsid w:val="00A52CC4"/>
    <w:rsid w:val="00B73897"/>
    <w:rsid w:val="00B830DE"/>
    <w:rsid w:val="00C23A73"/>
    <w:rsid w:val="00D868B0"/>
    <w:rsid w:val="00DA7578"/>
    <w:rsid w:val="00E91FF4"/>
    <w:rsid w:val="00F11F05"/>
    <w:rsid w:val="00F45418"/>
    <w:rsid w:val="00F8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C8CF"/>
  <w15:chartTrackingRefBased/>
  <w15:docId w15:val="{2896C1EA-A204-1E4D-8B13-6856F4B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31"/>
    <w:pPr>
      <w:spacing w:after="160" w:line="25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57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57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57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57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57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57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57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57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57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57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57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578"/>
    <w:pPr>
      <w:spacing w:after="0" w:line="240" w:lineRule="auto"/>
      <w:ind w:left="720"/>
      <w:contextualSpacing/>
    </w:pPr>
    <w:rPr>
      <w:kern w:val="2"/>
      <w:sz w:val="24"/>
      <w:szCs w:val="24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57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36531"/>
    <w:rPr>
      <w:rFonts w:ascii="Calibri" w:eastAsia="Calibri" w:hAnsi="Calibri" w:cs="Times New Roman"/>
      <w:kern w:val="0"/>
      <w:sz w:val="22"/>
      <w:szCs w:val="22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 Zuboviene</dc:creator>
  <cp:keywords/>
  <dc:description/>
  <cp:lastModifiedBy>milda.janeliauskaite@gmail.com</cp:lastModifiedBy>
  <cp:revision>8</cp:revision>
  <dcterms:created xsi:type="dcterms:W3CDTF">2025-03-04T16:56:00Z</dcterms:created>
  <dcterms:modified xsi:type="dcterms:W3CDTF">2025-03-06T11:27:00Z</dcterms:modified>
</cp:coreProperties>
</file>